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1B" w:rsidRDefault="00460C1B" w:rsidP="00460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работы </w:t>
      </w:r>
    </w:p>
    <w:p w:rsidR="00460C1B" w:rsidRDefault="00460C1B" w:rsidP="00460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опорного центра</w:t>
      </w:r>
    </w:p>
    <w:p w:rsidR="00460C1B" w:rsidRDefault="00460C1B" w:rsidP="00460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МБУ «РИМЦ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460C1B" w:rsidRDefault="00460C1B" w:rsidP="00460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2022-2023 учебный год</w:t>
      </w:r>
    </w:p>
    <w:p w:rsidR="00460C1B" w:rsidRDefault="00460C1B" w:rsidP="00460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 опорный центр дополнительного образования детей был создан на основании приказа УОМО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25 октября 2021г. № 203 с </w:t>
      </w: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>: создание условий для обеспечения эффективной системы взаимодействия в сфере дополнительного образования детей по реализации мероприятий в системе дополнительного образования детей в рамках регионального проекта «Успех каждого ребенка» национального проекта «Образование».</w:t>
      </w:r>
      <w:proofErr w:type="gramEnd"/>
    </w:p>
    <w:p w:rsidR="00460C1B" w:rsidRDefault="00460C1B" w:rsidP="00460C1B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1. Проведение информационно-просветительской работы по сопровождению мероприятий в рамках реализации регионального проекта «Успех каждого ребенка» национального проекта «Образование». </w:t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Обеспечение функционирования АИС «Навигатор дополнительного образования детей». </w:t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Организационно-техническое и методическое сопровождение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внедрения модели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Организация и сопровождение </w:t>
      </w:r>
      <w:r w:rsidRPr="00287C38">
        <w:rPr>
          <w:rFonts w:ascii="Times New Roman" w:hAnsi="Times New Roman" w:cs="Times New Roman"/>
          <w:sz w:val="24"/>
          <w:szCs w:val="24"/>
        </w:rPr>
        <w:t>на региональном уровне</w:t>
      </w:r>
      <w:r>
        <w:rPr>
          <w:rFonts w:ascii="Times New Roman" w:hAnsi="Times New Roman" w:cs="Times New Roman"/>
          <w:sz w:val="24"/>
          <w:szCs w:val="24"/>
        </w:rPr>
        <w:t xml:space="preserve"> работы по независимой оценке качества дополнительного образования детей. </w:t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Внедрение типовых моделей реализации дополнительных общеобразовательных программ. </w:t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Осуществление организационной, методической и экспертно-консультационной поддержки педагогических работников образовательных учреждений, реализующих дополнительные общеобразовательные программы. </w:t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регионального проекта «Успех каждого ребенка» выстроено тесное взаимодействие МОЦ   с учреждением дополнительного образования, с общеобразовательными и дошкольными организациями.</w:t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Схема взаимодействия МОЦ  с организациями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Усть-Удинского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</w:t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948239" wp14:editId="405496AE">
            <wp:extent cx="5486400" cy="3200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сайте МБУ «РИМЦ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создан раздел – «Муниципальный опорный центр дополнительного образования». В разделе «МОЦ» размещены муниципальные нормативные документы, </w:t>
      </w:r>
      <w:r w:rsidRPr="00C25EB8">
        <w:rPr>
          <w:rFonts w:ascii="Times New Roman" w:hAnsi="Times New Roman" w:cs="Times New Roman"/>
          <w:sz w:val="24"/>
          <w:szCs w:val="24"/>
        </w:rPr>
        <w:t>обеспечивающие внедрение системы 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и автоматизированной информационной системы «Навигатор дополнительного образования детей», размещена информация о деятельности опорного центра и проводимых мероприятиях.</w:t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АИС «Навигатор» зарегистрировано 19 образовательных организаций, реализующих 20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программ. На конец отчетного периода количество детей, зарегистрированных в АИС «Навигатор», составляет 2229 чел. (73,9% от общего количества детей в муниципалитете в возрасте от 5 до 18 лет). Организована работа по заполнению модулей АИС «Навигатор» образовательными организациями. Муниципальным администратором осуществлялись координация и контроль заполнения разделов (модулей) Навигатора:</w:t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модуль «Организации» - проверка корректности внесения сведений об образовательных организациях, реализующих дополнительные общеобразовательные программы; </w:t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модуль «Программы»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опубликование дополнительных общеобразовательных программ; </w:t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модуль «Инвентаризация» - инструктивное сопровождение проведения инвентаризации кадровых ресурсов. </w:t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модуль «Отзывы» - редактирование и публикация отзывов о размещенных дополнительных общеобразовательных программах. </w:t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Осуществлялась инструктивно-консультативная поддержка ответственных за работу в АИС «Навигатор» образовательных организаций по заполнению модулей по вопросам: обработка заявок на участие в дополнительных образовательных программах, заполнения разделов: «Журнал посещаемости», «Дети», «Пользователи сайта» и др. Администратором систематически отслеживается сводная статистика по всем модулям Навигатора, формируются и выгружаются отчеты по дополнительному образованию в муниципалитете. </w:t>
      </w:r>
    </w:p>
    <w:p w:rsidR="00460C1B" w:rsidRPr="00C25EB8" w:rsidRDefault="00460C1B" w:rsidP="00460C1B">
      <w:pPr>
        <w:spacing w:after="0"/>
        <w:ind w:firstLine="851"/>
        <w:jc w:val="both"/>
        <w:rPr>
          <w:u w:val="single"/>
        </w:rPr>
      </w:pPr>
      <w:r w:rsidRPr="00C25EB8">
        <w:rPr>
          <w:rFonts w:ascii="Times New Roman" w:hAnsi="Times New Roman" w:cs="Times New Roman"/>
          <w:sz w:val="24"/>
          <w:szCs w:val="24"/>
        </w:rPr>
        <w:t>Управленческое, финансовое и юридическое обеспечение функционирования системы персонифицированного финансирования осуществляет Управление образования муниципального образования «</w:t>
      </w:r>
      <w:proofErr w:type="spellStart"/>
      <w:r w:rsidRPr="00C25EB8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C25EB8">
        <w:rPr>
          <w:rFonts w:ascii="Times New Roman" w:hAnsi="Times New Roman" w:cs="Times New Roman"/>
          <w:sz w:val="24"/>
          <w:szCs w:val="24"/>
        </w:rPr>
        <w:t xml:space="preserve"> район».  Была утверждена программа персонифицированного финансирования дополнительного образования детей, рассчитан номинал сертификата в объеме 13 000,00</w:t>
      </w:r>
      <w:r w:rsidRPr="00C25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5EB8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460C1B" w:rsidRPr="00C25EB8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EB8">
        <w:rPr>
          <w:rFonts w:ascii="Times New Roman" w:hAnsi="Times New Roman" w:cs="Times New Roman"/>
          <w:sz w:val="24"/>
          <w:szCs w:val="24"/>
        </w:rPr>
        <w:t>МОЦ  осуществлял организационно-техническое и методическое сопровождение внедрения модели персонифицированного финансирования дополнительного образования, координировал работу по выдачи сертификатов персонифицированного финансирования.</w:t>
      </w:r>
    </w:p>
    <w:p w:rsidR="00460C1B" w:rsidRPr="00C25EB8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EB8">
        <w:rPr>
          <w:rFonts w:ascii="Times New Roman" w:hAnsi="Times New Roman" w:cs="Times New Roman"/>
          <w:sz w:val="24"/>
          <w:szCs w:val="24"/>
        </w:rPr>
        <w:t xml:space="preserve">Количество выданных сертификатов учета за учебный год -2050. Количество выданных сертификатов финансирования в 2023 г.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779</w:t>
      </w:r>
      <w:r w:rsidRPr="00C25EB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25 %</w:t>
      </w:r>
      <w:r w:rsidRPr="00C25EB8">
        <w:rPr>
          <w:rFonts w:ascii="Times New Roman" w:hAnsi="Times New Roman" w:cs="Times New Roman"/>
          <w:sz w:val="24"/>
          <w:szCs w:val="24"/>
        </w:rPr>
        <w:t>.</w:t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EB8">
        <w:rPr>
          <w:rFonts w:ascii="Times New Roman" w:hAnsi="Times New Roman" w:cs="Times New Roman"/>
          <w:sz w:val="24"/>
          <w:szCs w:val="24"/>
        </w:rPr>
        <w:t>В течение отчетного периода методистом МОЦ  был проведен ряд мероприятий, направленных на подготовку дополнительных общеразвивающих программ к независимой оценке качества в связи с переходом на социальный заказ.</w:t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34 дополнительных общеразвивающих программ в установленные сроки были размещены в АИС «Навигатор» и прошли независимую оценку качества.</w:t>
      </w:r>
    </w:p>
    <w:p w:rsidR="00460C1B" w:rsidRDefault="00460C1B" w:rsidP="00460C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 и руководящие работники дополнительного  образования повышали свой профессиональный уровень, обучаясь по программам повышения квалификации в очной форме и с применением дистанционных технологий по вопросам внедрения целевой модели дополнительного образования, проектирования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 программ. Организаторы курсов ПК: ГАУ ДПО «Институт развития образования Иркутской области», «Образовательный центр для муниципальной сферы «Каменный город», Акционерное общество «Академия просвещения», ООО «Центр непрерывного образования и инноваций».</w:t>
      </w:r>
    </w:p>
    <w:p w:rsidR="00460C1B" w:rsidRDefault="00460C1B" w:rsidP="00460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2022-2023 уч. года 12 педагогов и руководящих работников получили удостоверения о прохождении курсов ПК.</w:t>
      </w:r>
    </w:p>
    <w:p w:rsidR="00460C1B" w:rsidRDefault="00460C1B" w:rsidP="00460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Проделана работа по выявлению и распространению лучших образовательных практик учреждений дополнительного образования детей. Проанализирован опыт педагогических работников  образовательных учреждений дополнительного образования и общеобразовательных  учреждений по разработке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адаптированных программ. Формы обобщения опыта: профессиональные предметные сообщества, педагогические советы, открытые занятия. </w:t>
      </w:r>
    </w:p>
    <w:p w:rsidR="00460C1B" w:rsidRPr="00AC72D4" w:rsidRDefault="00460C1B" w:rsidP="00460C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методистами и педагогами МБУ ДО Дома детского творчества  было подготовлено и проведено 4 муниципальных конкурсов</w:t>
      </w:r>
      <w:r w:rsidRPr="00AC72D4">
        <w:rPr>
          <w:rFonts w:ascii="Times New Roman" w:hAnsi="Times New Roman" w:cs="Times New Roman"/>
          <w:sz w:val="24"/>
          <w:szCs w:val="24"/>
        </w:rPr>
        <w:t>: «</w:t>
      </w:r>
      <w:r w:rsidRPr="00AC72D4">
        <w:rPr>
          <w:rFonts w:ascii="Times New Roman" w:hAnsi="Times New Roman" w:cs="Times New Roman"/>
          <w:bCs/>
          <w:sz w:val="24"/>
          <w:szCs w:val="24"/>
        </w:rPr>
        <w:t>Лучшее портфолио</w:t>
      </w:r>
    </w:p>
    <w:p w:rsidR="00460C1B" w:rsidRDefault="00460C1B" w:rsidP="00460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2D4">
        <w:rPr>
          <w:rFonts w:ascii="Times New Roman" w:hAnsi="Times New Roman" w:cs="Times New Roman"/>
          <w:bCs/>
          <w:sz w:val="24"/>
          <w:szCs w:val="24"/>
        </w:rPr>
        <w:t>педагога дополнительного образования</w:t>
      </w:r>
      <w:r w:rsidRPr="00AC72D4">
        <w:rPr>
          <w:rFonts w:ascii="Times New Roman" w:hAnsi="Times New Roman" w:cs="Times New Roman"/>
          <w:sz w:val="24"/>
          <w:szCs w:val="24"/>
        </w:rPr>
        <w:t>», победителями стали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7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C1B" w:rsidRPr="00AC72D4" w:rsidRDefault="00460C1B" w:rsidP="00460C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72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72D4">
        <w:rPr>
          <w:rFonts w:ascii="Times New Roman" w:hAnsi="Times New Roman" w:cs="Times New Roman"/>
          <w:sz w:val="24"/>
          <w:szCs w:val="24"/>
        </w:rPr>
        <w:t xml:space="preserve"> место – Москалева Т.В. - педагог дополнительного образования детского объединения «Ритмическая гимнастика» МБУ ДО Дома детского творчества.</w:t>
      </w:r>
      <w:proofErr w:type="gramEnd"/>
    </w:p>
    <w:p w:rsidR="00460C1B" w:rsidRPr="00AC72D4" w:rsidRDefault="00460C1B" w:rsidP="00460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2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72D4">
        <w:rPr>
          <w:rFonts w:ascii="Times New Roman" w:hAnsi="Times New Roman" w:cs="Times New Roman"/>
          <w:sz w:val="24"/>
          <w:szCs w:val="24"/>
        </w:rPr>
        <w:t xml:space="preserve"> место – Кудрявцева Е.С. –педагог дополнительного образования детского объединения «Маленькие художники».</w:t>
      </w:r>
      <w:proofErr w:type="gramEnd"/>
    </w:p>
    <w:p w:rsidR="00460C1B" w:rsidRPr="00AC72D4" w:rsidRDefault="00460C1B" w:rsidP="00460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2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72D4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AC72D4">
        <w:rPr>
          <w:rFonts w:ascii="Times New Roman" w:hAnsi="Times New Roman" w:cs="Times New Roman"/>
          <w:sz w:val="24"/>
          <w:szCs w:val="24"/>
        </w:rPr>
        <w:t>Луковникова</w:t>
      </w:r>
      <w:proofErr w:type="spellEnd"/>
      <w:r w:rsidRPr="00AC72D4">
        <w:rPr>
          <w:rFonts w:ascii="Times New Roman" w:hAnsi="Times New Roman" w:cs="Times New Roman"/>
          <w:sz w:val="24"/>
          <w:szCs w:val="24"/>
        </w:rPr>
        <w:t xml:space="preserve"> Н.Л. - педагога дополнительного образования детского объединения «Умелые руки» МБУ ДО Дома детского творчества.</w:t>
      </w:r>
      <w:proofErr w:type="gramEnd"/>
    </w:p>
    <w:p w:rsidR="00460C1B" w:rsidRPr="00AC72D4" w:rsidRDefault="00460C1B" w:rsidP="00460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2D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C72D4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AC72D4">
        <w:rPr>
          <w:rFonts w:ascii="Times New Roman" w:hAnsi="Times New Roman" w:cs="Times New Roman"/>
          <w:sz w:val="24"/>
          <w:szCs w:val="24"/>
        </w:rPr>
        <w:t>Рютин</w:t>
      </w:r>
      <w:proofErr w:type="spellEnd"/>
      <w:r w:rsidRPr="00AC72D4">
        <w:rPr>
          <w:rFonts w:ascii="Times New Roman" w:hAnsi="Times New Roman" w:cs="Times New Roman"/>
          <w:sz w:val="24"/>
          <w:szCs w:val="24"/>
        </w:rPr>
        <w:t xml:space="preserve"> С.Д. - педагога дополнительного образования детского объединения «Шахматная школа» М</w:t>
      </w:r>
      <w:r>
        <w:rPr>
          <w:rFonts w:ascii="Times New Roman" w:hAnsi="Times New Roman" w:cs="Times New Roman"/>
          <w:sz w:val="24"/>
          <w:szCs w:val="24"/>
        </w:rPr>
        <w:t>БУ ДО Дома детского творчества.</w:t>
      </w:r>
      <w:proofErr w:type="gramEnd"/>
    </w:p>
    <w:p w:rsidR="00460C1B" w:rsidRDefault="00460C1B" w:rsidP="00460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развития творческого потенциала детей, стимулирования творческой активности обучающихся были организованы конкурсы «Новогодняя сказка», выставка детского творчества «Дыхание весны»,  конкурс профессионального мастерства педагогов дополнительного образования «Педагог года», победителями конкурса стали: </w:t>
      </w:r>
    </w:p>
    <w:p w:rsidR="00460C1B" w:rsidRDefault="00460C1B" w:rsidP="00460C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2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72D4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Голубых Дмитрий Владимирович – </w:t>
      </w:r>
      <w:r w:rsidRPr="00287C38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преподаватель МКУДО </w:t>
      </w:r>
      <w:proofErr w:type="spellStart"/>
      <w:r w:rsidRPr="00287C38">
        <w:rPr>
          <w:rFonts w:ascii="Times New Roman" w:hAnsi="Times New Roman" w:cs="Times New Roman"/>
          <w:color w:val="000000"/>
          <w:sz w:val="24"/>
          <w:szCs w:val="24"/>
        </w:rPr>
        <w:t>Усть-Удинской</w:t>
      </w:r>
      <w:proofErr w:type="spellEnd"/>
      <w:r w:rsidRPr="00287C38">
        <w:rPr>
          <w:rFonts w:ascii="Times New Roman" w:hAnsi="Times New Roman" w:cs="Times New Roman"/>
          <w:color w:val="000000"/>
          <w:sz w:val="24"/>
          <w:szCs w:val="24"/>
        </w:rPr>
        <w:t xml:space="preserve"> РДШИ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0C1B" w:rsidRPr="00287C38" w:rsidRDefault="00460C1B" w:rsidP="00460C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2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72D4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 Плетнев Андрей Олегович – педагог дополнительного образования </w:t>
      </w:r>
      <w:r w:rsidRPr="00AC72D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БУ ДО Дома детского творчества;</w:t>
      </w:r>
    </w:p>
    <w:p w:rsidR="00460C1B" w:rsidRDefault="00460C1B" w:rsidP="00460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2D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C72D4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72D4">
        <w:rPr>
          <w:rFonts w:ascii="Times New Roman" w:hAnsi="Times New Roman" w:cs="Times New Roman"/>
          <w:sz w:val="24"/>
          <w:szCs w:val="24"/>
        </w:rPr>
        <w:t>Москалева Т.В. - педагог дополнительного образования МБУ ДО Дома детского творчества.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C1B" w:rsidRDefault="00460C1B" w:rsidP="00460C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работы МОЦ за 2023 год показал, что, в целом задачи, стоящие перед центром, выполнены. Проведена работа по внедрению и обеспечению функционирования АИС «Навигатор дополнительного образования детей», проведению независимой оценки качества дополнительного образования детей, внедрению типовых моделей реализации дополнительных общеразвивающих программ. Методистами использовались разнообразные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повышения профессионального мастерства педагогических работников системы дополнительного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 Особое внимание уделялось увеличению охвата детей дополнительным образованием.</w:t>
      </w:r>
    </w:p>
    <w:p w:rsidR="00460C1B" w:rsidRDefault="00460C1B" w:rsidP="00460C1B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460C1B" w:rsidRDefault="00460C1B" w:rsidP="00460C1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C1B" w:rsidRDefault="00460C1B" w:rsidP="00460C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0C1B" w:rsidRDefault="00460C1B" w:rsidP="00460C1B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C1B" w:rsidRDefault="00460C1B" w:rsidP="00460C1B"/>
    <w:p w:rsidR="00F83802" w:rsidRDefault="00F83802"/>
    <w:sectPr w:rsidR="00F8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1B"/>
    <w:rsid w:val="00460C1B"/>
    <w:rsid w:val="00F8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D1D0A0-B3C3-463A-91B9-1D8E24C85E9D}" type="doc">
      <dgm:prSet loTypeId="urn:microsoft.com/office/officeart/2008/layout/RadialCluster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C9893EF-0A87-4E00-A925-FBC3D51F8898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МОЦ МБУ "РИМЦ Усть-Удинского района"</a:t>
          </a:r>
        </a:p>
      </dgm:t>
    </dgm:pt>
    <dgm:pt modelId="{3B4F4BE1-9C2A-4D4A-AA09-5442BAD91A91}" type="parTrans" cxnId="{A6473984-0B1F-46FC-B50B-DE076C04C872}">
      <dgm:prSet/>
      <dgm:spPr/>
      <dgm:t>
        <a:bodyPr/>
        <a:lstStyle/>
        <a:p>
          <a:endParaRPr lang="ru-RU"/>
        </a:p>
      </dgm:t>
    </dgm:pt>
    <dgm:pt modelId="{5F0F4EFF-C001-45B3-A096-D505D98BBD62}" type="sibTrans" cxnId="{A6473984-0B1F-46FC-B50B-DE076C04C872}">
      <dgm:prSet/>
      <dgm:spPr/>
      <dgm:t>
        <a:bodyPr/>
        <a:lstStyle/>
        <a:p>
          <a:endParaRPr lang="ru-RU"/>
        </a:p>
      </dgm:t>
    </dgm:pt>
    <dgm:pt modelId="{5BECF85D-5AA0-46E3-8A6D-59DAA798E9CD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МБУ ДО Усть-Удинский Дом детского творчества</a:t>
          </a:r>
        </a:p>
      </dgm:t>
    </dgm:pt>
    <dgm:pt modelId="{2F3CB878-55E6-4D9C-887E-E86EA9180C12}" type="parTrans" cxnId="{84A694B0-5129-432F-AC0F-89618F5F7B1E}">
      <dgm:prSet/>
      <dgm:spPr/>
      <dgm:t>
        <a:bodyPr/>
        <a:lstStyle/>
        <a:p>
          <a:endParaRPr lang="ru-RU"/>
        </a:p>
      </dgm:t>
    </dgm:pt>
    <dgm:pt modelId="{60DA4960-2853-40F0-B024-DA791D7B4107}" type="sibTrans" cxnId="{84A694B0-5129-432F-AC0F-89618F5F7B1E}">
      <dgm:prSet/>
      <dgm:spPr/>
      <dgm:t>
        <a:bodyPr/>
        <a:lstStyle/>
        <a:p>
          <a:endParaRPr lang="ru-RU"/>
        </a:p>
      </dgm:t>
    </dgm:pt>
    <dgm:pt modelId="{3F4313B9-AD26-46D9-97C5-74AAC47CFE9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Дошкольные организации </a:t>
          </a:r>
        </a:p>
      </dgm:t>
    </dgm:pt>
    <dgm:pt modelId="{69693A18-DA35-49FC-BC47-047AAEA83546}" type="parTrans" cxnId="{B91D65D2-E98A-4278-A792-2BB01688C9ED}">
      <dgm:prSet/>
      <dgm:spPr/>
      <dgm:t>
        <a:bodyPr/>
        <a:lstStyle/>
        <a:p>
          <a:endParaRPr lang="ru-RU"/>
        </a:p>
      </dgm:t>
    </dgm:pt>
    <dgm:pt modelId="{6109D0D2-C9F7-47F4-B22F-DCAB4E183EC1}" type="sibTrans" cxnId="{B91D65D2-E98A-4278-A792-2BB01688C9ED}">
      <dgm:prSet/>
      <dgm:spPr/>
      <dgm:t>
        <a:bodyPr/>
        <a:lstStyle/>
        <a:p>
          <a:endParaRPr lang="ru-RU"/>
        </a:p>
      </dgm:t>
    </dgm:pt>
    <dgm:pt modelId="{FDD0A3A0-5FCE-4BAF-814A-66D0FB1AF13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Общеобразовательные организации</a:t>
          </a:r>
        </a:p>
      </dgm:t>
    </dgm:pt>
    <dgm:pt modelId="{A3EFC9A7-D521-4E2D-ADB6-18CD0B3EFBD8}" type="parTrans" cxnId="{9467D738-2812-46D1-9DDF-A1834BB3B8E8}">
      <dgm:prSet/>
      <dgm:spPr/>
      <dgm:t>
        <a:bodyPr/>
        <a:lstStyle/>
        <a:p>
          <a:endParaRPr lang="ru-RU"/>
        </a:p>
      </dgm:t>
    </dgm:pt>
    <dgm:pt modelId="{92CF8A41-306D-4AC8-8D45-E3FA76FBAC73}" type="sibTrans" cxnId="{9467D738-2812-46D1-9DDF-A1834BB3B8E8}">
      <dgm:prSet/>
      <dgm:spPr/>
      <dgm:t>
        <a:bodyPr/>
        <a:lstStyle/>
        <a:p>
          <a:endParaRPr lang="ru-RU"/>
        </a:p>
      </dgm:t>
    </dgm:pt>
    <dgm:pt modelId="{1A4BDE4A-B781-4A70-81C9-E4B80F07B61B}" type="pres">
      <dgm:prSet presAssocID="{1CD1D0A0-B3C3-463A-91B9-1D8E24C85E9D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1B0419BF-78B7-46DF-93B7-B03C78248EB5}" type="pres">
      <dgm:prSet presAssocID="{BC9893EF-0A87-4E00-A925-FBC3D51F8898}" presName="singleCycle" presStyleCnt="0"/>
      <dgm:spPr/>
    </dgm:pt>
    <dgm:pt modelId="{3ECA2471-4724-4F53-8A6A-78F707DAF84B}" type="pres">
      <dgm:prSet presAssocID="{BC9893EF-0A87-4E00-A925-FBC3D51F8898}" presName="singleCenter" presStyleLbl="node1" presStyleIdx="0" presStyleCnt="4" custScaleX="130231" custLinFactNeighborX="-655" custLinFactNeighborY="-9167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1FB9692B-C041-4CDF-A062-CD45C8A65FF2}" type="pres">
      <dgm:prSet presAssocID="{2F3CB878-55E6-4D9C-887E-E86EA9180C12}" presName="Name56" presStyleLbl="parChTrans1D2" presStyleIdx="0" presStyleCnt="3"/>
      <dgm:spPr/>
      <dgm:t>
        <a:bodyPr/>
        <a:lstStyle/>
        <a:p>
          <a:endParaRPr lang="ru-RU"/>
        </a:p>
      </dgm:t>
    </dgm:pt>
    <dgm:pt modelId="{01B4E15A-853A-427E-957F-78B9B34B7980}" type="pres">
      <dgm:prSet presAssocID="{5BECF85D-5AA0-46E3-8A6D-59DAA798E9CD}" presName="text0" presStyleLbl="node1" presStyleIdx="1" presStyleCnt="4" custScaleX="2762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84BD39-E6ED-4F10-B9C2-29D8F87A951C}" type="pres">
      <dgm:prSet presAssocID="{69693A18-DA35-49FC-BC47-047AAEA83546}" presName="Name56" presStyleLbl="parChTrans1D2" presStyleIdx="1" presStyleCnt="3"/>
      <dgm:spPr/>
      <dgm:t>
        <a:bodyPr/>
        <a:lstStyle/>
        <a:p>
          <a:endParaRPr lang="ru-RU"/>
        </a:p>
      </dgm:t>
    </dgm:pt>
    <dgm:pt modelId="{E23F8965-B6E1-48AA-ABF2-7BD8023A85BB}" type="pres">
      <dgm:prSet presAssocID="{3F4313B9-AD26-46D9-97C5-74AAC47CFE9D}" presName="text0" presStyleLbl="node1" presStyleIdx="2" presStyleCnt="4" custScaleX="247810" custRadScaleRad="109199" custRadScaleInc="-45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83F525-C859-42A2-8645-935E631FD12A}" type="pres">
      <dgm:prSet presAssocID="{A3EFC9A7-D521-4E2D-ADB6-18CD0B3EFBD8}" presName="Name56" presStyleLbl="parChTrans1D2" presStyleIdx="2" presStyleCnt="3"/>
      <dgm:spPr/>
      <dgm:t>
        <a:bodyPr/>
        <a:lstStyle/>
        <a:p>
          <a:endParaRPr lang="ru-RU"/>
        </a:p>
      </dgm:t>
    </dgm:pt>
    <dgm:pt modelId="{BB8E2474-EE76-4102-BF0D-B6E3C3547F9C}" type="pres">
      <dgm:prSet presAssocID="{FDD0A3A0-5FCE-4BAF-814A-66D0FB1AF13F}" presName="text0" presStyleLbl="node1" presStyleIdx="3" presStyleCnt="4" custScaleX="259228" custRadScaleRad="99732" custRadScaleInc="12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ABA9DC8-FF9A-4DE5-93E2-992C9FDE5A22}" type="presOf" srcId="{1CD1D0A0-B3C3-463A-91B9-1D8E24C85E9D}" destId="{1A4BDE4A-B781-4A70-81C9-E4B80F07B61B}" srcOrd="0" destOrd="0" presId="urn:microsoft.com/office/officeart/2008/layout/RadialCluster"/>
    <dgm:cxn modelId="{A6473984-0B1F-46FC-B50B-DE076C04C872}" srcId="{1CD1D0A0-B3C3-463A-91B9-1D8E24C85E9D}" destId="{BC9893EF-0A87-4E00-A925-FBC3D51F8898}" srcOrd="0" destOrd="0" parTransId="{3B4F4BE1-9C2A-4D4A-AA09-5442BAD91A91}" sibTransId="{5F0F4EFF-C001-45B3-A096-D505D98BBD62}"/>
    <dgm:cxn modelId="{952A1593-6296-444D-86D1-EE02F096955F}" type="presOf" srcId="{FDD0A3A0-5FCE-4BAF-814A-66D0FB1AF13F}" destId="{BB8E2474-EE76-4102-BF0D-B6E3C3547F9C}" srcOrd="0" destOrd="0" presId="urn:microsoft.com/office/officeart/2008/layout/RadialCluster"/>
    <dgm:cxn modelId="{B91D65D2-E98A-4278-A792-2BB01688C9ED}" srcId="{BC9893EF-0A87-4E00-A925-FBC3D51F8898}" destId="{3F4313B9-AD26-46D9-97C5-74AAC47CFE9D}" srcOrd="1" destOrd="0" parTransId="{69693A18-DA35-49FC-BC47-047AAEA83546}" sibTransId="{6109D0D2-C9F7-47F4-B22F-DCAB4E183EC1}"/>
    <dgm:cxn modelId="{BDE5EBF0-C706-4925-819C-B00C02FFEC1A}" type="presOf" srcId="{5BECF85D-5AA0-46E3-8A6D-59DAA798E9CD}" destId="{01B4E15A-853A-427E-957F-78B9B34B7980}" srcOrd="0" destOrd="0" presId="urn:microsoft.com/office/officeart/2008/layout/RadialCluster"/>
    <dgm:cxn modelId="{84A694B0-5129-432F-AC0F-89618F5F7B1E}" srcId="{BC9893EF-0A87-4E00-A925-FBC3D51F8898}" destId="{5BECF85D-5AA0-46E3-8A6D-59DAA798E9CD}" srcOrd="0" destOrd="0" parTransId="{2F3CB878-55E6-4D9C-887E-E86EA9180C12}" sibTransId="{60DA4960-2853-40F0-B024-DA791D7B4107}"/>
    <dgm:cxn modelId="{B0F17BC4-1F58-4321-8254-5E71D720525A}" type="presOf" srcId="{3F4313B9-AD26-46D9-97C5-74AAC47CFE9D}" destId="{E23F8965-B6E1-48AA-ABF2-7BD8023A85BB}" srcOrd="0" destOrd="0" presId="urn:microsoft.com/office/officeart/2008/layout/RadialCluster"/>
    <dgm:cxn modelId="{523F6233-3457-430D-9CBF-FD0494A77B04}" type="presOf" srcId="{2F3CB878-55E6-4D9C-887E-E86EA9180C12}" destId="{1FB9692B-C041-4CDF-A062-CD45C8A65FF2}" srcOrd="0" destOrd="0" presId="urn:microsoft.com/office/officeart/2008/layout/RadialCluster"/>
    <dgm:cxn modelId="{F150FFBD-65F3-43BA-8AFD-C06503F91C27}" type="presOf" srcId="{69693A18-DA35-49FC-BC47-047AAEA83546}" destId="{AE84BD39-E6ED-4F10-B9C2-29D8F87A951C}" srcOrd="0" destOrd="0" presId="urn:microsoft.com/office/officeart/2008/layout/RadialCluster"/>
    <dgm:cxn modelId="{9467D738-2812-46D1-9DDF-A1834BB3B8E8}" srcId="{BC9893EF-0A87-4E00-A925-FBC3D51F8898}" destId="{FDD0A3A0-5FCE-4BAF-814A-66D0FB1AF13F}" srcOrd="2" destOrd="0" parTransId="{A3EFC9A7-D521-4E2D-ADB6-18CD0B3EFBD8}" sibTransId="{92CF8A41-306D-4AC8-8D45-E3FA76FBAC73}"/>
    <dgm:cxn modelId="{F32E4AB8-7220-4997-A81A-C115D79572D3}" type="presOf" srcId="{A3EFC9A7-D521-4E2D-ADB6-18CD0B3EFBD8}" destId="{1E83F525-C859-42A2-8645-935E631FD12A}" srcOrd="0" destOrd="0" presId="urn:microsoft.com/office/officeart/2008/layout/RadialCluster"/>
    <dgm:cxn modelId="{836E550A-FF94-4D39-9AF4-4713F99F213F}" type="presOf" srcId="{BC9893EF-0A87-4E00-A925-FBC3D51F8898}" destId="{3ECA2471-4724-4F53-8A6A-78F707DAF84B}" srcOrd="0" destOrd="0" presId="urn:microsoft.com/office/officeart/2008/layout/RadialCluster"/>
    <dgm:cxn modelId="{1528E50F-AC44-492A-A49E-1712A55F14C9}" type="presParOf" srcId="{1A4BDE4A-B781-4A70-81C9-E4B80F07B61B}" destId="{1B0419BF-78B7-46DF-93B7-B03C78248EB5}" srcOrd="0" destOrd="0" presId="urn:microsoft.com/office/officeart/2008/layout/RadialCluster"/>
    <dgm:cxn modelId="{3822287F-2726-4A19-B4E4-6897335219B7}" type="presParOf" srcId="{1B0419BF-78B7-46DF-93B7-B03C78248EB5}" destId="{3ECA2471-4724-4F53-8A6A-78F707DAF84B}" srcOrd="0" destOrd="0" presId="urn:microsoft.com/office/officeart/2008/layout/RadialCluster"/>
    <dgm:cxn modelId="{72B2D141-F048-4226-91E0-59FF5D3B570D}" type="presParOf" srcId="{1B0419BF-78B7-46DF-93B7-B03C78248EB5}" destId="{1FB9692B-C041-4CDF-A062-CD45C8A65FF2}" srcOrd="1" destOrd="0" presId="urn:microsoft.com/office/officeart/2008/layout/RadialCluster"/>
    <dgm:cxn modelId="{7C505D50-2863-433E-83B3-9B4F8D5F2F67}" type="presParOf" srcId="{1B0419BF-78B7-46DF-93B7-B03C78248EB5}" destId="{01B4E15A-853A-427E-957F-78B9B34B7980}" srcOrd="2" destOrd="0" presId="urn:microsoft.com/office/officeart/2008/layout/RadialCluster"/>
    <dgm:cxn modelId="{6899CA11-6B53-4BBD-A97A-77BAEC07F697}" type="presParOf" srcId="{1B0419BF-78B7-46DF-93B7-B03C78248EB5}" destId="{AE84BD39-E6ED-4F10-B9C2-29D8F87A951C}" srcOrd="3" destOrd="0" presId="urn:microsoft.com/office/officeart/2008/layout/RadialCluster"/>
    <dgm:cxn modelId="{D520BDFE-1C1A-4B76-A436-24B1E5331B33}" type="presParOf" srcId="{1B0419BF-78B7-46DF-93B7-B03C78248EB5}" destId="{E23F8965-B6E1-48AA-ABF2-7BD8023A85BB}" srcOrd="4" destOrd="0" presId="urn:microsoft.com/office/officeart/2008/layout/RadialCluster"/>
    <dgm:cxn modelId="{8CA682E5-0D8C-4959-9D82-0BC24359609F}" type="presParOf" srcId="{1B0419BF-78B7-46DF-93B7-B03C78248EB5}" destId="{1E83F525-C859-42A2-8645-935E631FD12A}" srcOrd="5" destOrd="0" presId="urn:microsoft.com/office/officeart/2008/layout/RadialCluster"/>
    <dgm:cxn modelId="{EBED5E99-EB03-4FBC-95E2-DE7938D28A42}" type="presParOf" srcId="{1B0419BF-78B7-46DF-93B7-B03C78248EB5}" destId="{BB8E2474-EE76-4102-BF0D-B6E3C3547F9C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CA2471-4724-4F53-8A6A-78F707DAF84B}">
      <dsp:nvSpPr>
        <dsp:cNvPr id="0" name=""/>
        <dsp:cNvSpPr/>
      </dsp:nvSpPr>
      <dsp:spPr>
        <a:xfrm>
          <a:off x="2117050" y="1218475"/>
          <a:ext cx="1250373" cy="9601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МОЦ МБУ "РИМЦ Усть-Удинского района"</a:t>
          </a:r>
        </a:p>
      </dsp:txBody>
      <dsp:txXfrm>
        <a:off x="2163919" y="1265344"/>
        <a:ext cx="1156635" cy="866382"/>
      </dsp:txXfrm>
    </dsp:sp>
    <dsp:sp modelId="{1FB9692B-C041-4CDF-A062-CD45C8A65FF2}">
      <dsp:nvSpPr>
        <dsp:cNvPr id="0" name=""/>
        <dsp:cNvSpPr/>
      </dsp:nvSpPr>
      <dsp:spPr>
        <a:xfrm rot="16255140">
          <a:off x="2551632" y="1016963"/>
          <a:ext cx="40307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03075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4E15A-853A-427E-957F-78B9B34B7980}">
      <dsp:nvSpPr>
        <dsp:cNvPr id="0" name=""/>
        <dsp:cNvSpPr/>
      </dsp:nvSpPr>
      <dsp:spPr>
        <a:xfrm>
          <a:off x="1872922" y="172171"/>
          <a:ext cx="1777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МБУ ДО Усть-Удинский Дом детского творчества</a:t>
          </a:r>
        </a:p>
      </dsp:txBody>
      <dsp:txXfrm>
        <a:off x="1904324" y="203573"/>
        <a:ext cx="1714476" cy="580476"/>
      </dsp:txXfrm>
    </dsp:sp>
    <dsp:sp modelId="{AE84BD39-E6ED-4F10-B9C2-29D8F87A951C}">
      <dsp:nvSpPr>
        <dsp:cNvPr id="0" name=""/>
        <dsp:cNvSpPr/>
      </dsp:nvSpPr>
      <dsp:spPr>
        <a:xfrm rot="2086849">
          <a:off x="3327929" y="2258842"/>
          <a:ext cx="44211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2119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3F8965-B6E1-48AA-ABF2-7BD8023A85BB}">
      <dsp:nvSpPr>
        <dsp:cNvPr id="0" name=""/>
        <dsp:cNvSpPr/>
      </dsp:nvSpPr>
      <dsp:spPr>
        <a:xfrm>
          <a:off x="3396609" y="2384943"/>
          <a:ext cx="1594113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Дошкольные организации </a:t>
          </a:r>
        </a:p>
      </dsp:txBody>
      <dsp:txXfrm>
        <a:off x="3428011" y="2416345"/>
        <a:ext cx="1531309" cy="580476"/>
      </dsp:txXfrm>
    </dsp:sp>
    <dsp:sp modelId="{1E83F525-C859-42A2-8645-935E631FD12A}">
      <dsp:nvSpPr>
        <dsp:cNvPr id="0" name=""/>
        <dsp:cNvSpPr/>
      </dsp:nvSpPr>
      <dsp:spPr>
        <a:xfrm rot="8518866">
          <a:off x="1856764" y="2272110"/>
          <a:ext cx="30365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3658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8E2474-EE76-4102-BF0D-B6E3C3547F9C}">
      <dsp:nvSpPr>
        <dsp:cNvPr id="0" name=""/>
        <dsp:cNvSpPr/>
      </dsp:nvSpPr>
      <dsp:spPr>
        <a:xfrm>
          <a:off x="643799" y="2365625"/>
          <a:ext cx="1667562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Общеобразовательные организации</a:t>
          </a:r>
        </a:p>
      </dsp:txBody>
      <dsp:txXfrm>
        <a:off x="675201" y="2397027"/>
        <a:ext cx="1604758" cy="5804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1163</Words>
  <Characters>6634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2024-03-27T06:45:00Z</dcterms:created>
  <dcterms:modified xsi:type="dcterms:W3CDTF">2024-03-27T06:54:00Z</dcterms:modified>
</cp:coreProperties>
</file>